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0748E23">
      <w:pPr>
        <w:widowControl/>
        <w:jc w:val="left"/>
        <w:rPr>
          <w:rFonts w:ascii="黑体" w:hAnsi="黑体" w:eastAsia="黑体"/>
          <w:color w:val="000000"/>
          <w:kern w:val="0"/>
          <w:sz w:val="15"/>
          <w:szCs w:val="15"/>
        </w:rPr>
      </w:pPr>
    </w:p>
    <w:p w14:paraId="113F0E3C">
      <w:pPr>
        <w:jc w:val="center"/>
      </w:pPr>
      <w:r>
        <w:rPr>
          <w:rFonts w:hint="eastAsia" w:ascii="黑体" w:hAnsi="黑体" w:eastAsia="黑体"/>
          <w:sz w:val="36"/>
          <w:szCs w:val="36"/>
        </w:rPr>
        <w:t>202</w:t>
      </w:r>
      <w:r>
        <w:rPr>
          <w:rFonts w:hint="eastAsia" w:ascii="黑体" w:hAnsi="黑体" w:eastAsia="黑体"/>
          <w:sz w:val="36"/>
          <w:szCs w:val="36"/>
          <w:lang w:val="en-US" w:eastAsia="zh-CN"/>
        </w:rPr>
        <w:t>6</w:t>
      </w:r>
      <w:r>
        <w:rPr>
          <w:rFonts w:hint="eastAsia" w:ascii="黑体" w:hAnsi="黑体" w:eastAsia="黑体"/>
          <w:sz w:val="36"/>
          <w:szCs w:val="36"/>
        </w:rPr>
        <w:t xml:space="preserve">年全国硕士研究生招生考试《专硕农业综合二之  </w:t>
      </w:r>
    </w:p>
    <w:p w14:paraId="24B44C30">
      <w:pPr>
        <w:jc w:val="center"/>
        <w:rPr>
          <w:rFonts w:ascii="黑体" w:hAnsi="黑体" w:eastAsia="黑体" w:cs="黑体"/>
          <w:sz w:val="36"/>
          <w:szCs w:val="36"/>
        </w:rPr>
      </w:pPr>
      <w:r>
        <w:rPr>
          <w:rFonts w:hint="eastAsia" w:ascii="黑体" w:hAnsi="黑体" w:eastAsia="黑体" w:cs="黑体"/>
          <w:sz w:val="36"/>
          <w:szCs w:val="36"/>
        </w:rPr>
        <w:t xml:space="preserve"> 水产动物营养与饲料考试大纲（渔业发展）</w:t>
      </w:r>
    </w:p>
    <w:p w14:paraId="6F4D8891">
      <w:pPr>
        <w:jc w:val="center"/>
        <w:rPr>
          <w:rFonts w:hint="eastAsia" w:ascii="黑体" w:hAnsi="黑体" w:eastAsia="黑体" w:cs="黑体"/>
          <w:b w:val="0"/>
          <w:bCs w:val="0"/>
          <w:sz w:val="36"/>
          <w:szCs w:val="36"/>
        </w:rPr>
      </w:pPr>
    </w:p>
    <w:p w14:paraId="767F3115">
      <w:pPr>
        <w:jc w:val="center"/>
        <w:rPr>
          <w:rFonts w:hint="eastAsia" w:ascii="黑体" w:hAnsi="黑体" w:eastAsia="黑体" w:cs="黑体"/>
          <w:b w:val="0"/>
          <w:bCs w:val="0"/>
          <w:sz w:val="36"/>
          <w:szCs w:val="36"/>
        </w:rPr>
      </w:pPr>
      <w:r>
        <w:rPr>
          <w:rFonts w:hint="eastAsia" w:ascii="黑体" w:hAnsi="黑体" w:eastAsia="黑体" w:cs="黑体"/>
          <w:b w:val="0"/>
          <w:bCs w:val="0"/>
          <w:sz w:val="36"/>
          <w:szCs w:val="36"/>
        </w:rPr>
        <w:t>绪 论</w:t>
      </w:r>
    </w:p>
    <w:p w14:paraId="54B1714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</w:rPr>
        <w:t>水生动物与畜禽营养学特征的异同</w:t>
      </w:r>
    </w:p>
    <w:p w14:paraId="16C15860">
      <w:pPr>
        <w:pStyle w:val="15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Chars="0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</w:rPr>
        <w:t>水产动物营养学原理</w:t>
      </w:r>
    </w:p>
    <w:p w14:paraId="69A87868">
      <w:pPr>
        <w:pStyle w:val="15"/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Chars="0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</w:rPr>
        <w:t>蛋白质营养</w:t>
      </w:r>
    </w:p>
    <w:p w14:paraId="59F5701C">
      <w:pPr>
        <w:pStyle w:val="15"/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Chars="0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</w:rPr>
        <w:t>蛋白质的组成</w:t>
      </w:r>
    </w:p>
    <w:p w14:paraId="370B883B">
      <w:pPr>
        <w:pStyle w:val="1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480"/>
        <w:textAlignment w:val="auto"/>
        <w:rPr>
          <w:sz w:val="24"/>
          <w:szCs w:val="24"/>
        </w:rPr>
      </w:pPr>
      <w:r>
        <w:rPr>
          <w:rStyle w:val="16"/>
        </w:rPr>
        <w:t xml:space="preserve">凯氏 </w:t>
      </w:r>
      <w:r>
        <w:rPr>
          <w:rStyle w:val="17"/>
        </w:rPr>
        <w:t xml:space="preserve">(Kjedahl) </w:t>
      </w:r>
      <w:r>
        <w:rPr>
          <w:rStyle w:val="16"/>
        </w:rPr>
        <w:t>定氮法</w:t>
      </w:r>
    </w:p>
    <w:p w14:paraId="05305B12">
      <w:pPr>
        <w:pStyle w:val="1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0" w:firstLineChars="0"/>
        <w:textAlignment w:val="auto"/>
        <w:rPr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t xml:space="preserve"> </w:t>
      </w:r>
    </w:p>
    <w:p w14:paraId="05C00193">
      <w:pPr>
        <w:pStyle w:val="15"/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Chars="0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</w:rPr>
        <w:t>蛋白质的营养生理作用</w:t>
      </w:r>
    </w:p>
    <w:p w14:paraId="193959B2">
      <w:pPr>
        <w:pStyle w:val="15"/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Chars="0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</w:rPr>
        <w:t>鱼、虾类对饲料蛋白质的需求</w:t>
      </w:r>
    </w:p>
    <w:p w14:paraId="6CA0557B">
      <w:pPr>
        <w:pStyle w:val="1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450" w:firstLine="0" w:firstLineChars="0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</w:rPr>
        <w:t>内因性氮、代谢性氮、蛋白质周转、蛋白质降解、鱼、虾类最佳生长的蛋白质需求量：确定鱼、虾类最佳生长的蛋白质需求量的方法，不同学者所得出的最佳生长的蛋白质需要量不尽相同，产生这种现象的原因。</w:t>
      </w:r>
    </w:p>
    <w:p w14:paraId="705F673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</w:rPr>
        <w:t>（四）鱼、虾类对氨基酸的需求</w:t>
      </w:r>
    </w:p>
    <w:p w14:paraId="4C4A82C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</w:rPr>
        <w:t>必需氨基酸、半必需氨基酸、非必需氨基酸、限制性氨基酸、确定必需氨基酸常用方法、氨基酸平衡和蛋白质的互补作用</w:t>
      </w:r>
    </w:p>
    <w:p w14:paraId="6474A6D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</w:rPr>
        <w:t>（五）蛋白质的营养价值评定一、生物学评定法：增重率，特定生长率，蛋白质效率，净蛋白质利用率，生物价</w:t>
      </w:r>
    </w:p>
    <w:p w14:paraId="25DD9E8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sz w:val="24"/>
          <w:szCs w:val="24"/>
        </w:rPr>
      </w:pPr>
      <w:r>
        <w:rPr>
          <w:sz w:val="24"/>
          <w:szCs w:val="24"/>
        </w:rPr>
        <w:t>二</w:t>
      </w:r>
      <w:r>
        <w:rPr>
          <w:rFonts w:hint="eastAsia"/>
          <w:sz w:val="24"/>
          <w:szCs w:val="24"/>
        </w:rPr>
        <w:t>、化学评定法：蛋白价，必需氨基酸指数 (EAAI)</w:t>
      </w:r>
    </w:p>
    <w:p w14:paraId="0703E1A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sz w:val="24"/>
          <w:szCs w:val="24"/>
        </w:rPr>
      </w:pPr>
      <w:r>
        <w:rPr>
          <w:sz w:val="24"/>
          <w:szCs w:val="24"/>
        </w:rPr>
        <w:t>三</w:t>
      </w:r>
      <w:r>
        <w:rPr>
          <w:rFonts w:hint="eastAsia"/>
          <w:sz w:val="24"/>
          <w:szCs w:val="24"/>
        </w:rPr>
        <w:t>、生物化学评定法</w:t>
      </w:r>
    </w:p>
    <w:p w14:paraId="5FE4936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</w:rPr>
        <w:t>第二节 糖类营养</w:t>
      </w:r>
    </w:p>
    <w:p w14:paraId="70CFD401">
      <w:pPr>
        <w:pStyle w:val="15"/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Chars="0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</w:rPr>
        <w:t>糖类的概念</w:t>
      </w:r>
    </w:p>
    <w:p w14:paraId="54D7DAF6">
      <w:pPr>
        <w:pStyle w:val="15"/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Chars="0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</w:rPr>
        <w:t>糖类的种类、分布和生理功能</w:t>
      </w:r>
    </w:p>
    <w:p w14:paraId="75D98DAC">
      <w:pPr>
        <w:pStyle w:val="1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0" w:firstLineChars="0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    淀粉糊化、淀粉老化</w:t>
      </w:r>
    </w:p>
    <w:p w14:paraId="79CE44DD">
      <w:pPr>
        <w:pStyle w:val="15"/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Chars="0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</w:rPr>
        <w:t>粗纤维对水生动物的作用</w:t>
      </w:r>
    </w:p>
    <w:p w14:paraId="7E89FDAE">
      <w:pPr>
        <w:pStyle w:val="15"/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Chars="0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</w:rPr>
        <w:t>影响糖类利用的主要因素</w:t>
      </w:r>
    </w:p>
    <w:p w14:paraId="0CA022DD">
      <w:pPr>
        <w:pStyle w:val="15"/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Chars="0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</w:rPr>
        <w:t>鱼类对糖的低利用力的可能原因</w:t>
      </w:r>
    </w:p>
    <w:p w14:paraId="5797587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</w:rPr>
        <w:t>第三节 脂类营养</w:t>
      </w:r>
    </w:p>
    <w:p w14:paraId="11DF8BFC">
      <w:pPr>
        <w:pStyle w:val="15"/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Chars="0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</w:rPr>
        <w:t>脂类的组成、分类及性质</w:t>
      </w:r>
    </w:p>
    <w:p w14:paraId="4CFCAE83">
      <w:pPr>
        <w:pStyle w:val="1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420" w:firstLine="0" w:firstLineChars="0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</w:rPr>
        <w:t>鱼、虾类营养重要的不饱和脂肪酸；与营养学有关的性质</w:t>
      </w:r>
    </w:p>
    <w:p w14:paraId="3E41CC96">
      <w:pPr>
        <w:pStyle w:val="15"/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Chars="0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</w:rPr>
        <w:t>脂类的生理功能</w:t>
      </w:r>
    </w:p>
    <w:p w14:paraId="38A24C44">
      <w:pPr>
        <w:pStyle w:val="15"/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Chars="0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</w:rPr>
        <w:t>鱼、虾类对必需脂肪酸的需求</w:t>
      </w:r>
    </w:p>
    <w:p w14:paraId="13021DF0">
      <w:pPr>
        <w:pStyle w:val="1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420" w:firstLine="0" w:firstLineChars="0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</w:rPr>
        <w:t>必需脂肪酸、饱和脂肪酸、不饱和脂肪酸、单不饱和脂肪酸、多不饱和脂肪酸、高不饱和脂肪酸、鱼、虾类所需必需脂肪酸种类、影响水产动物体脂肪组成因素、脂肪的消化吸收、淡水鱼与海水鱼EFA不同的原因</w:t>
      </w:r>
    </w:p>
    <w:p w14:paraId="43071548">
      <w:pPr>
        <w:pStyle w:val="15"/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Chars="0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</w:rPr>
        <w:t>鱼、虾类对类脂质的要求</w:t>
      </w:r>
    </w:p>
    <w:p w14:paraId="064F3E82">
      <w:pPr>
        <w:pStyle w:val="1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420" w:firstLine="0" w:firstLineChars="0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</w:rPr>
        <w:t>磷脂的作用、胆固醇</w:t>
      </w:r>
    </w:p>
    <w:p w14:paraId="49EE31D6">
      <w:pPr>
        <w:pStyle w:val="15"/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Chars="0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</w:rPr>
        <w:t>脂肪的氧化酸败</w:t>
      </w:r>
    </w:p>
    <w:p w14:paraId="7553590F">
      <w:pPr>
        <w:pStyle w:val="15"/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Chars="0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</w:rPr>
        <w:t>脂肪对蛋白质的节约作用</w:t>
      </w:r>
    </w:p>
    <w:p w14:paraId="656456E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</w:rPr>
        <w:t>第四节 能量营养</w:t>
      </w:r>
    </w:p>
    <w:p w14:paraId="7675133F">
      <w:pPr>
        <w:pStyle w:val="15"/>
        <w:keepNext w:val="0"/>
        <w:keepLines w:val="0"/>
        <w:pageBreakBefore w:val="0"/>
        <w:widowControl w:val="0"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Chars="0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</w:rPr>
        <w:t>GE、DE、ME、NE、HI</w:t>
      </w:r>
    </w:p>
    <w:p w14:paraId="15D44079">
      <w:pPr>
        <w:pStyle w:val="15"/>
        <w:keepNext w:val="0"/>
        <w:keepLines w:val="0"/>
        <w:pageBreakBefore w:val="0"/>
        <w:widowControl w:val="0"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Chars="0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</w:rPr>
        <w:t>能量在水产动物体内的流向</w:t>
      </w:r>
    </w:p>
    <w:p w14:paraId="53BE1F1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sz w:val="24"/>
          <w:szCs w:val="24"/>
        </w:rPr>
      </w:pPr>
      <w:r>
        <w:rPr>
          <w:sz w:val="24"/>
          <w:szCs w:val="24"/>
        </w:rPr>
        <w:t>第五节</w:t>
      </w:r>
      <w:r>
        <w:rPr>
          <w:rFonts w:hint="eastAsia"/>
          <w:sz w:val="24"/>
          <w:szCs w:val="24"/>
        </w:rPr>
        <w:t xml:space="preserve"> 维生素营养</w:t>
      </w:r>
    </w:p>
    <w:p w14:paraId="23609AD8">
      <w:pPr>
        <w:pStyle w:val="15"/>
        <w:keepNext w:val="0"/>
        <w:keepLines w:val="0"/>
        <w:pageBreakBefore w:val="0"/>
        <w:widowControl w:val="0"/>
        <w:numPr>
          <w:ilvl w:val="0"/>
          <w:numId w:val="7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Chars="0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</w:rPr>
        <w:t>维生素的概念及分类</w:t>
      </w:r>
    </w:p>
    <w:p w14:paraId="41B4EC0D">
      <w:pPr>
        <w:pStyle w:val="1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0" w:firstLineChars="0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    维生素需要的特点、影响维生素添加量的因素</w:t>
      </w:r>
    </w:p>
    <w:p w14:paraId="03E14EE2">
      <w:pPr>
        <w:pStyle w:val="15"/>
        <w:keepNext w:val="0"/>
        <w:keepLines w:val="0"/>
        <w:pageBreakBefore w:val="0"/>
        <w:widowControl w:val="0"/>
        <w:numPr>
          <w:ilvl w:val="0"/>
          <w:numId w:val="7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Chars="0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</w:rPr>
        <w:t>脂溶性维生素的结构、性质与生理功能</w:t>
      </w:r>
    </w:p>
    <w:p w14:paraId="25D2525D">
      <w:pPr>
        <w:pStyle w:val="15"/>
        <w:keepNext w:val="0"/>
        <w:keepLines w:val="0"/>
        <w:pageBreakBefore w:val="0"/>
        <w:widowControl w:val="0"/>
        <w:numPr>
          <w:ilvl w:val="0"/>
          <w:numId w:val="7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Chars="0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</w:rPr>
        <w:t>水溶性维生素的性质及生理功能</w:t>
      </w:r>
    </w:p>
    <w:p w14:paraId="15F07786">
      <w:pPr>
        <w:pStyle w:val="15"/>
        <w:keepNext w:val="0"/>
        <w:keepLines w:val="0"/>
        <w:pageBreakBefore w:val="0"/>
        <w:widowControl w:val="0"/>
        <w:numPr>
          <w:ilvl w:val="0"/>
          <w:numId w:val="7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Chars="0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</w:rPr>
        <w:t>维生素缺乏症</w:t>
      </w:r>
    </w:p>
    <w:p w14:paraId="5796A3E1">
      <w:pPr>
        <w:pStyle w:val="15"/>
        <w:keepNext w:val="0"/>
        <w:keepLines w:val="0"/>
        <w:pageBreakBefore w:val="0"/>
        <w:widowControl w:val="0"/>
        <w:numPr>
          <w:ilvl w:val="0"/>
          <w:numId w:val="7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Chars="0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</w:rPr>
        <w:t>影响维生素需要量的因素</w:t>
      </w:r>
    </w:p>
    <w:p w14:paraId="343F86CB">
      <w:pPr>
        <w:pStyle w:val="15"/>
        <w:keepNext w:val="0"/>
        <w:keepLines w:val="0"/>
        <w:pageBreakBefore w:val="0"/>
        <w:widowControl w:val="0"/>
        <w:numPr>
          <w:ilvl w:val="0"/>
          <w:numId w:val="7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Chars="0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</w:rPr>
        <w:t>抗维生素</w:t>
      </w:r>
    </w:p>
    <w:p w14:paraId="0B7F36DF">
      <w:pPr>
        <w:pStyle w:val="1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420" w:firstLine="0" w:firstLineChars="0"/>
        <w:textAlignment w:val="auto"/>
        <w:rPr>
          <w:sz w:val="24"/>
          <w:szCs w:val="24"/>
        </w:rPr>
      </w:pPr>
      <w:r>
        <w:rPr>
          <w:sz w:val="24"/>
          <w:szCs w:val="24"/>
        </w:rPr>
        <w:t>第六节</w:t>
      </w:r>
      <w:r>
        <w:rPr>
          <w:rFonts w:hint="eastAsia"/>
          <w:sz w:val="24"/>
          <w:szCs w:val="24"/>
        </w:rPr>
        <w:t xml:space="preserve"> 矿物质营养</w:t>
      </w:r>
    </w:p>
    <w:p w14:paraId="02AA7529">
      <w:pPr>
        <w:pStyle w:val="1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420" w:firstLine="0" w:firstLineChars="0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</w:rPr>
        <w:t>概念：必需矿物元素、常量矿物元素、微量矿物元素。</w:t>
      </w:r>
      <w:r>
        <w:rPr>
          <w:sz w:val="24"/>
          <w:szCs w:val="24"/>
        </w:rPr>
        <w:cr/>
      </w:r>
      <w:r>
        <w:rPr>
          <w:rFonts w:hint="eastAsia"/>
          <w:sz w:val="24"/>
          <w:szCs w:val="24"/>
        </w:rPr>
        <w:t>水产动物上磷的营养生理功能、缺乏症及影响其需要量的因素。</w:t>
      </w:r>
      <w:r>
        <w:rPr>
          <w:sz w:val="24"/>
          <w:szCs w:val="24"/>
        </w:rPr>
        <w:cr/>
      </w:r>
      <w:r>
        <w:rPr>
          <w:rFonts w:hint="eastAsia"/>
          <w:sz w:val="24"/>
          <w:szCs w:val="24"/>
        </w:rPr>
        <w:t>影响水生动物对矿物质吸收利用的因素</w:t>
      </w:r>
    </w:p>
    <w:p w14:paraId="2B53A162">
      <w:pPr>
        <w:pStyle w:val="1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420" w:firstLine="0" w:firstLineChars="0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</w:rPr>
        <w:t>第七节 营养物质间的相互作用</w:t>
      </w:r>
    </w:p>
    <w:p w14:paraId="6590785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</w:rPr>
        <w:t>第二章 水产动物繁殖期的营养</w:t>
      </w:r>
    </w:p>
    <w:p w14:paraId="23F3E574">
      <w:pPr>
        <w:pStyle w:val="1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420" w:firstLine="0" w:firstLineChars="0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</w:rPr>
        <w:t>一些微颗粒饲料未达到鲜活饵料的效果，出现这种情况的主要原因、</w:t>
      </w:r>
      <w:r>
        <w:rPr>
          <w:rFonts w:ascii="宋体" w:hAnsi="宋体" w:cs="宋体"/>
          <w:color w:val="000000"/>
          <w:sz w:val="24"/>
          <w:szCs w:val="24"/>
        </w:rPr>
        <w:t>关键技术难点在哪里？</w:t>
      </w:r>
    </w:p>
    <w:p w14:paraId="7C0AF44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</w:rPr>
        <w:t>第三章 鱼、虾类的摄食与消化吸收</w:t>
      </w:r>
    </w:p>
    <w:p w14:paraId="250CA832">
      <w:pPr>
        <w:pStyle w:val="1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735" w:firstLine="0" w:firstLineChars="0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</w:rPr>
        <w:t>概念：饱食量、再摄食量、日摄食率</w:t>
      </w:r>
    </w:p>
    <w:p w14:paraId="5B941879">
      <w:pPr>
        <w:pStyle w:val="1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735" w:firstLine="0" w:firstLineChars="0"/>
        <w:textAlignment w:val="auto"/>
        <w:rPr>
          <w:sz w:val="24"/>
          <w:szCs w:val="24"/>
        </w:rPr>
      </w:pPr>
      <w:r>
        <w:rPr>
          <w:sz w:val="24"/>
          <w:szCs w:val="24"/>
        </w:rPr>
        <w:t>影响摄食的</w:t>
      </w:r>
      <w:r>
        <w:rPr>
          <w:rFonts w:hint="eastAsia"/>
          <w:sz w:val="24"/>
          <w:szCs w:val="24"/>
        </w:rPr>
        <w:t>因素</w:t>
      </w:r>
    </w:p>
    <w:p w14:paraId="527CCBE5">
      <w:pPr>
        <w:pStyle w:val="1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735" w:firstLine="0" w:firstLineChars="0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</w:rPr>
        <w:t>消化吸收途径和机制</w:t>
      </w:r>
    </w:p>
    <w:p w14:paraId="0C848786">
      <w:pPr>
        <w:pStyle w:val="1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735" w:firstLine="0" w:firstLineChars="0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</w:rPr>
        <w:t>影响消化速度的因素</w:t>
      </w:r>
    </w:p>
    <w:p w14:paraId="7D81E87F">
      <w:pPr>
        <w:pStyle w:val="1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735" w:firstLine="0" w:firstLineChars="0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</w:rPr>
        <w:t>消化率：消化率的测定、指示剂、影响消化率的主要因素</w:t>
      </w:r>
    </w:p>
    <w:p w14:paraId="69C73461">
      <w:pPr>
        <w:keepNext w:val="0"/>
        <w:keepLines w:val="0"/>
        <w:pageBreakBefore w:val="0"/>
        <w:widowControl w:val="0"/>
        <w:numPr>
          <w:ilvl w:val="0"/>
          <w:numId w:val="8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</w:rPr>
        <w:t>鱼虾营养与健康</w:t>
      </w:r>
    </w:p>
    <w:p w14:paraId="7B6FBAF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   特异性免疫和非特异性免疫、</w:t>
      </w:r>
      <w:r>
        <w:rPr>
          <w:sz w:val="24"/>
          <w:szCs w:val="24"/>
        </w:rPr>
        <w:t>水产动物的免疫刺激物质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 xml:space="preserve"> 微生态制剂</w:t>
      </w:r>
      <w:r>
        <w:rPr>
          <w:rFonts w:hint="eastAsia"/>
          <w:sz w:val="24"/>
          <w:szCs w:val="24"/>
        </w:rPr>
        <w:t>、</w:t>
      </w:r>
      <w:r>
        <w:rPr>
          <w:rFonts w:ascii="宋体" w:hAnsi="宋体" w:cs="宋体"/>
          <w:color w:val="000000"/>
          <w:sz w:val="24"/>
          <w:szCs w:val="24"/>
        </w:rPr>
        <w:t>益生素</w:t>
      </w:r>
      <w:r>
        <w:rPr>
          <w:rStyle w:val="18"/>
        </w:rPr>
        <w:t>(Probiotics)</w:t>
      </w:r>
      <w:r>
        <w:rPr>
          <w:rFonts w:ascii="宋体" w:hAnsi="宋体" w:cs="宋体"/>
          <w:color w:val="000000"/>
          <w:sz w:val="24"/>
          <w:szCs w:val="24"/>
        </w:rPr>
        <w:t>和益生元</w:t>
      </w:r>
      <w:r>
        <w:rPr>
          <w:rStyle w:val="18"/>
        </w:rPr>
        <w:t>(</w:t>
      </w:r>
      <w:r>
        <w:rPr>
          <w:rStyle w:val="18"/>
          <w:color w:val="333333"/>
        </w:rPr>
        <w:t>Prebiotics</w:t>
      </w:r>
      <w:r>
        <w:rPr>
          <w:rStyle w:val="18"/>
        </w:rPr>
        <w:t>)</w:t>
      </w:r>
      <w:r>
        <w:rPr>
          <w:rFonts w:ascii="宋体" w:hAnsi="宋体" w:cs="宋体"/>
          <w:color w:val="000000"/>
          <w:sz w:val="24"/>
          <w:szCs w:val="24"/>
        </w:rPr>
        <w:t>的作用机制有何不同？如何减少饲料中的有毒有害物质对水产动物健康的危害？</w:t>
      </w:r>
      <w:r>
        <w:rPr>
          <w:rFonts w:ascii="宋体" w:hAnsi="宋体" w:cs="宋体"/>
          <w:sz w:val="24"/>
          <w:szCs w:val="24"/>
        </w:rPr>
        <w:t xml:space="preserve">  </w:t>
      </w:r>
      <w:r>
        <w:rPr>
          <w:sz w:val="24"/>
          <w:szCs w:val="24"/>
        </w:rPr>
        <w:t xml:space="preserve"> </w:t>
      </w:r>
    </w:p>
    <w:p w14:paraId="37DB6BC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</w:rPr>
        <w:t>第五章 水产动物营养研究方法</w:t>
      </w:r>
    </w:p>
    <w:p w14:paraId="6501719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</w:rPr>
        <w:t>可控环境营养研究的目的与意义、动物的选择与分组</w:t>
      </w:r>
    </w:p>
    <w:p w14:paraId="03E6B39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</w:rPr>
        <w:t>第六章 渔用配合饲料原料</w:t>
      </w:r>
    </w:p>
    <w:p w14:paraId="5837DF2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sz w:val="24"/>
          <w:szCs w:val="24"/>
        </w:rPr>
      </w:pPr>
      <w:r>
        <w:rPr>
          <w:sz w:val="24"/>
          <w:szCs w:val="24"/>
        </w:rPr>
        <w:t>能量饲料</w:t>
      </w:r>
      <w:r>
        <w:rPr>
          <w:rFonts w:hint="eastAsia"/>
          <w:sz w:val="24"/>
          <w:szCs w:val="24"/>
        </w:rPr>
        <w:t>，</w:t>
      </w:r>
      <w:r>
        <w:rPr>
          <w:sz w:val="24"/>
          <w:szCs w:val="24"/>
        </w:rPr>
        <w:t>蛋白质饲料</w:t>
      </w:r>
    </w:p>
    <w:p w14:paraId="235E2BF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</w:rPr>
        <w:t>第七章 渔用配合饲料添加剂</w:t>
      </w:r>
    </w:p>
    <w:p w14:paraId="1232B9B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</w:rPr>
        <w:t>一、饲料添加剂的基本概念和作用</w:t>
      </w:r>
    </w:p>
    <w:p w14:paraId="355FC4B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</w:rPr>
        <w:t>配合饲料中为什么要加饲料添加剂、</w:t>
      </w:r>
      <w:r>
        <w:rPr>
          <w:rFonts w:ascii="宋体" w:hAnsi="宋体" w:cs="宋体"/>
          <w:color w:val="000000"/>
          <w:sz w:val="24"/>
          <w:szCs w:val="24"/>
        </w:rPr>
        <w:t>作为饲料添加剂，必须满足</w:t>
      </w:r>
      <w:r>
        <w:rPr>
          <w:rFonts w:hint="eastAsia" w:ascii="宋体" w:hAnsi="宋体" w:cs="宋体"/>
          <w:color w:val="000000"/>
          <w:sz w:val="24"/>
          <w:szCs w:val="24"/>
        </w:rPr>
        <w:t>哪些条件</w:t>
      </w:r>
    </w:p>
    <w:p w14:paraId="2767CEC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</w:rPr>
        <w:t>二、饲料添加剂的分类</w:t>
      </w:r>
    </w:p>
    <w:p w14:paraId="08F0E66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sz w:val="24"/>
          <w:szCs w:val="24"/>
        </w:rPr>
      </w:pPr>
      <w:r>
        <w:rPr>
          <w:sz w:val="24"/>
          <w:szCs w:val="24"/>
        </w:rPr>
        <w:t>三</w:t>
      </w:r>
      <w:r>
        <w:rPr>
          <w:rFonts w:hint="eastAsia"/>
          <w:sz w:val="24"/>
          <w:szCs w:val="24"/>
        </w:rPr>
        <w:t>、载体和稀释剂</w:t>
      </w:r>
    </w:p>
    <w:p w14:paraId="7CF00D7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载体和稀释剂概念，作为载体和稀释剂应符合哪些条件？</w:t>
      </w:r>
    </w:p>
    <w:p w14:paraId="4C062D26">
      <w:pPr>
        <w:pStyle w:val="15"/>
        <w:keepNext w:val="0"/>
        <w:keepLines w:val="0"/>
        <w:pageBreakBefore w:val="0"/>
        <w:widowControl w:val="0"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Chars="0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</w:rPr>
        <w:t>预混合饲料</w:t>
      </w:r>
    </w:p>
    <w:p w14:paraId="55EB34AD">
      <w:pPr>
        <w:pStyle w:val="15"/>
        <w:keepNext w:val="0"/>
        <w:keepLines w:val="0"/>
        <w:pageBreakBefore w:val="0"/>
        <w:widowControl w:val="0"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Chars="0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</w:rPr>
        <w:t>营养性饲料添加剂和非营养性添加剂</w:t>
      </w:r>
    </w:p>
    <w:p w14:paraId="3330377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</w:rPr>
        <w:t>第八章 饲料配方的设计与加工</w:t>
      </w:r>
    </w:p>
    <w:p w14:paraId="0846011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</w:rPr>
        <w:t>配合饲料的定义和优势、渔用配合饲料的分类</w:t>
      </w:r>
    </w:p>
    <w:p w14:paraId="1ABEC8B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</w:rPr>
        <w:t>营养需要、营养标准(或饲养标准)、饲料配方的设计原则、颗粒饲料和膨化饲料</w:t>
      </w:r>
      <w:bookmarkStart w:id="0" w:name="_GoBack"/>
      <w:bookmarkEnd w:id="0"/>
      <w:r>
        <w:rPr>
          <w:sz w:val="24"/>
          <w:szCs w:val="24"/>
        </w:rPr>
        <w:t>水分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粗蛋白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粗脂肪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灰分测定</w:t>
      </w:r>
      <w:r>
        <w:rPr>
          <w:rFonts w:hint="eastAsia"/>
          <w:sz w:val="24"/>
          <w:szCs w:val="24"/>
        </w:rPr>
        <w:t>。</w:t>
      </w:r>
    </w:p>
    <w:p w14:paraId="378DD19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000" w:firstLineChars="2500"/>
        <w:jc w:val="left"/>
        <w:textAlignment w:val="auto"/>
        <w:rPr>
          <w:rFonts w:hint="default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sectPr>
      <w:pgSz w:w="11906" w:h="16838"/>
      <w:pgMar w:top="1418" w:right="1134" w:bottom="1134" w:left="1134" w:header="851" w:footer="992" w:gutter="0"/>
      <w:cols w:space="425" w:num="1"/>
      <w:docGrid w:linePitch="323" w:charSpace="-353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TimesNewRomanPSMT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43719F9"/>
    <w:multiLevelType w:val="multilevel"/>
    <w:tmpl w:val="243719F9"/>
    <w:lvl w:ilvl="0" w:tentative="0">
      <w:start w:val="1"/>
      <w:numFmt w:val="japaneseCounting"/>
      <w:lvlText w:val="第%1节"/>
      <w:lvlJc w:val="left"/>
      <w:pPr>
        <w:ind w:left="735" w:hanging="735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2DFA0103"/>
    <w:multiLevelType w:val="multilevel"/>
    <w:tmpl w:val="2DFA0103"/>
    <w:lvl w:ilvl="0" w:tentative="0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2FDA0354"/>
    <w:multiLevelType w:val="multilevel"/>
    <w:tmpl w:val="2FDA0354"/>
    <w:lvl w:ilvl="0" w:tentative="0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43DE6D78"/>
    <w:multiLevelType w:val="multilevel"/>
    <w:tmpl w:val="43DE6D78"/>
    <w:lvl w:ilvl="0" w:tentative="0">
      <w:start w:val="1"/>
      <w:numFmt w:val="japaneseCounting"/>
      <w:lvlText w:val="第%1章"/>
      <w:lvlJc w:val="left"/>
      <w:pPr>
        <w:ind w:left="735" w:hanging="735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4573037A"/>
    <w:multiLevelType w:val="multilevel"/>
    <w:tmpl w:val="4573037A"/>
    <w:lvl w:ilvl="0" w:tentative="0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55AB44A4"/>
    <w:multiLevelType w:val="multilevel"/>
    <w:tmpl w:val="55AB44A4"/>
    <w:lvl w:ilvl="0" w:tentative="0">
      <w:start w:val="1"/>
      <w:numFmt w:val="japaneseCounting"/>
      <w:lvlText w:val="(%1)"/>
      <w:lvlJc w:val="left"/>
      <w:pPr>
        <w:ind w:left="450" w:hanging="45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5A309501"/>
    <w:multiLevelType w:val="singleLevel"/>
    <w:tmpl w:val="5A309501"/>
    <w:lvl w:ilvl="0" w:tentative="0">
      <w:start w:val="4"/>
      <w:numFmt w:val="chineseCounting"/>
      <w:suff w:val="space"/>
      <w:lvlText w:val="第%1章"/>
      <w:lvlJc w:val="left"/>
    </w:lvl>
  </w:abstractNum>
  <w:abstractNum w:abstractNumId="7">
    <w:nsid w:val="5E2A45C8"/>
    <w:multiLevelType w:val="multilevel"/>
    <w:tmpl w:val="5E2A45C8"/>
    <w:lvl w:ilvl="0" w:tentative="0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1"/>
  </w:num>
  <w:num w:numId="5">
    <w:abstractNumId w:val="7"/>
  </w:num>
  <w:num w:numId="6">
    <w:abstractNumId w:val="2"/>
  </w:num>
  <w:num w:numId="7">
    <w:abstractNumId w:val="4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84"/>
  <w:embedSystemFonts/>
  <w:bordersDoNotSurroundHeader w:val="1"/>
  <w:bordersDoNotSurroundFooter w:val="1"/>
  <w:documentProtection w:enforcement="0"/>
  <w:defaultTabStop w:val="425"/>
  <w:drawingGridHorizontalSpacing w:val="96"/>
  <w:drawingGridVerticalSpacing w:val="323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2"/>
  </w:compat>
  <w:docVars>
    <w:docVar w:name="commondata" w:val="eyJoZGlkIjoiZjk2MDUwYThmNzIyZDczMTI5ZDUxODY5Y2Y1MGM5Y2MifQ=="/>
  </w:docVars>
  <w:rsids>
    <w:rsidRoot w:val="00F73A15"/>
    <w:rsid w:val="00002A5C"/>
    <w:rsid w:val="00006F1E"/>
    <w:rsid w:val="000142B9"/>
    <w:rsid w:val="00021372"/>
    <w:rsid w:val="00022A0F"/>
    <w:rsid w:val="0004471B"/>
    <w:rsid w:val="00053B9C"/>
    <w:rsid w:val="00057C79"/>
    <w:rsid w:val="00063661"/>
    <w:rsid w:val="00075DD8"/>
    <w:rsid w:val="00081A92"/>
    <w:rsid w:val="000927EA"/>
    <w:rsid w:val="00093F5E"/>
    <w:rsid w:val="00094349"/>
    <w:rsid w:val="00097386"/>
    <w:rsid w:val="000A3F4C"/>
    <w:rsid w:val="000A585B"/>
    <w:rsid w:val="000A70D5"/>
    <w:rsid w:val="000B402B"/>
    <w:rsid w:val="000B6868"/>
    <w:rsid w:val="000C3E02"/>
    <w:rsid w:val="000C473D"/>
    <w:rsid w:val="000C7075"/>
    <w:rsid w:val="000D2C06"/>
    <w:rsid w:val="000D34D7"/>
    <w:rsid w:val="000D3E06"/>
    <w:rsid w:val="000D3F91"/>
    <w:rsid w:val="000D6D60"/>
    <w:rsid w:val="000E35FD"/>
    <w:rsid w:val="001010CD"/>
    <w:rsid w:val="001055C1"/>
    <w:rsid w:val="001172ED"/>
    <w:rsid w:val="001423CE"/>
    <w:rsid w:val="001467C2"/>
    <w:rsid w:val="00147B67"/>
    <w:rsid w:val="0015224A"/>
    <w:rsid w:val="00153D62"/>
    <w:rsid w:val="001548B6"/>
    <w:rsid w:val="00155CF3"/>
    <w:rsid w:val="0016247E"/>
    <w:rsid w:val="0017335F"/>
    <w:rsid w:val="00182826"/>
    <w:rsid w:val="0018386E"/>
    <w:rsid w:val="00187CF5"/>
    <w:rsid w:val="001962B0"/>
    <w:rsid w:val="00196325"/>
    <w:rsid w:val="00196F51"/>
    <w:rsid w:val="001A5ABD"/>
    <w:rsid w:val="001A673C"/>
    <w:rsid w:val="001A7371"/>
    <w:rsid w:val="001B3E6A"/>
    <w:rsid w:val="001D3B16"/>
    <w:rsid w:val="001F4FDC"/>
    <w:rsid w:val="001F5AB5"/>
    <w:rsid w:val="001F5C2A"/>
    <w:rsid w:val="001F7628"/>
    <w:rsid w:val="0020584A"/>
    <w:rsid w:val="002101AE"/>
    <w:rsid w:val="00213B50"/>
    <w:rsid w:val="00215CD8"/>
    <w:rsid w:val="00226584"/>
    <w:rsid w:val="00232D9C"/>
    <w:rsid w:val="00233EE4"/>
    <w:rsid w:val="002400CF"/>
    <w:rsid w:val="002407BA"/>
    <w:rsid w:val="00245727"/>
    <w:rsid w:val="00247047"/>
    <w:rsid w:val="00253B39"/>
    <w:rsid w:val="00263004"/>
    <w:rsid w:val="00263DF5"/>
    <w:rsid w:val="00264088"/>
    <w:rsid w:val="002712E6"/>
    <w:rsid w:val="002857D8"/>
    <w:rsid w:val="002863E2"/>
    <w:rsid w:val="002877EE"/>
    <w:rsid w:val="002A4159"/>
    <w:rsid w:val="002B1581"/>
    <w:rsid w:val="002B2D38"/>
    <w:rsid w:val="002B42D5"/>
    <w:rsid w:val="002B580A"/>
    <w:rsid w:val="002B5E6C"/>
    <w:rsid w:val="002B7626"/>
    <w:rsid w:val="002E662C"/>
    <w:rsid w:val="002E68D7"/>
    <w:rsid w:val="00304198"/>
    <w:rsid w:val="00315F45"/>
    <w:rsid w:val="003444DD"/>
    <w:rsid w:val="00347AA4"/>
    <w:rsid w:val="003537DE"/>
    <w:rsid w:val="00357E3D"/>
    <w:rsid w:val="003601A4"/>
    <w:rsid w:val="0037604E"/>
    <w:rsid w:val="00377C7B"/>
    <w:rsid w:val="0038212D"/>
    <w:rsid w:val="00384FFB"/>
    <w:rsid w:val="00385209"/>
    <w:rsid w:val="00386D48"/>
    <w:rsid w:val="00387757"/>
    <w:rsid w:val="00390EFB"/>
    <w:rsid w:val="00395B87"/>
    <w:rsid w:val="003B04F8"/>
    <w:rsid w:val="003B1FB2"/>
    <w:rsid w:val="003B702F"/>
    <w:rsid w:val="003C02F2"/>
    <w:rsid w:val="003C4A1C"/>
    <w:rsid w:val="003D0AE7"/>
    <w:rsid w:val="003D47E0"/>
    <w:rsid w:val="003D601A"/>
    <w:rsid w:val="003D70D9"/>
    <w:rsid w:val="003E34DF"/>
    <w:rsid w:val="00407CAF"/>
    <w:rsid w:val="00424AC6"/>
    <w:rsid w:val="00427EE3"/>
    <w:rsid w:val="00433D28"/>
    <w:rsid w:val="00434D46"/>
    <w:rsid w:val="00435381"/>
    <w:rsid w:val="00444531"/>
    <w:rsid w:val="00447252"/>
    <w:rsid w:val="00452A63"/>
    <w:rsid w:val="004607EC"/>
    <w:rsid w:val="004609D2"/>
    <w:rsid w:val="004638FC"/>
    <w:rsid w:val="0046690D"/>
    <w:rsid w:val="00477345"/>
    <w:rsid w:val="0048594F"/>
    <w:rsid w:val="004942D7"/>
    <w:rsid w:val="004963E7"/>
    <w:rsid w:val="004B38BC"/>
    <w:rsid w:val="004B5C0D"/>
    <w:rsid w:val="004C3AAA"/>
    <w:rsid w:val="004D60CB"/>
    <w:rsid w:val="004D7604"/>
    <w:rsid w:val="004E2CA0"/>
    <w:rsid w:val="004F0A69"/>
    <w:rsid w:val="004F2D0C"/>
    <w:rsid w:val="00504404"/>
    <w:rsid w:val="0051149E"/>
    <w:rsid w:val="005118F3"/>
    <w:rsid w:val="00514378"/>
    <w:rsid w:val="00516461"/>
    <w:rsid w:val="00522010"/>
    <w:rsid w:val="0052319F"/>
    <w:rsid w:val="00531821"/>
    <w:rsid w:val="005347BE"/>
    <w:rsid w:val="005429D4"/>
    <w:rsid w:val="0054366F"/>
    <w:rsid w:val="005506FB"/>
    <w:rsid w:val="00555BC6"/>
    <w:rsid w:val="00586EC4"/>
    <w:rsid w:val="005875D2"/>
    <w:rsid w:val="00587B52"/>
    <w:rsid w:val="00591027"/>
    <w:rsid w:val="005966FE"/>
    <w:rsid w:val="005A1FFB"/>
    <w:rsid w:val="005C3A72"/>
    <w:rsid w:val="005D0F90"/>
    <w:rsid w:val="005D2493"/>
    <w:rsid w:val="005D3A0C"/>
    <w:rsid w:val="005E1D94"/>
    <w:rsid w:val="005E4A3C"/>
    <w:rsid w:val="005F2B82"/>
    <w:rsid w:val="005F35D5"/>
    <w:rsid w:val="0060054D"/>
    <w:rsid w:val="00607AFF"/>
    <w:rsid w:val="006101CB"/>
    <w:rsid w:val="0061101F"/>
    <w:rsid w:val="00615EAA"/>
    <w:rsid w:val="00616111"/>
    <w:rsid w:val="0061638E"/>
    <w:rsid w:val="00622F14"/>
    <w:rsid w:val="00626B6D"/>
    <w:rsid w:val="00633982"/>
    <w:rsid w:val="00633FDA"/>
    <w:rsid w:val="006416D1"/>
    <w:rsid w:val="006452A4"/>
    <w:rsid w:val="00652FAD"/>
    <w:rsid w:val="00656FDF"/>
    <w:rsid w:val="0066577F"/>
    <w:rsid w:val="00666D6B"/>
    <w:rsid w:val="0067147C"/>
    <w:rsid w:val="006731B9"/>
    <w:rsid w:val="006744AC"/>
    <w:rsid w:val="00682A5E"/>
    <w:rsid w:val="00683794"/>
    <w:rsid w:val="006902AF"/>
    <w:rsid w:val="006957A2"/>
    <w:rsid w:val="006A34D5"/>
    <w:rsid w:val="006B6B31"/>
    <w:rsid w:val="006C150E"/>
    <w:rsid w:val="006D16CF"/>
    <w:rsid w:val="006D225F"/>
    <w:rsid w:val="006D73B2"/>
    <w:rsid w:val="006E0DED"/>
    <w:rsid w:val="006E3025"/>
    <w:rsid w:val="006E30F3"/>
    <w:rsid w:val="006F0F30"/>
    <w:rsid w:val="006F33D6"/>
    <w:rsid w:val="006F4976"/>
    <w:rsid w:val="006F6874"/>
    <w:rsid w:val="006F7659"/>
    <w:rsid w:val="00710C8D"/>
    <w:rsid w:val="00715B0D"/>
    <w:rsid w:val="00717389"/>
    <w:rsid w:val="00720D86"/>
    <w:rsid w:val="00722768"/>
    <w:rsid w:val="00722883"/>
    <w:rsid w:val="00743B15"/>
    <w:rsid w:val="00744B27"/>
    <w:rsid w:val="007456F0"/>
    <w:rsid w:val="007458C2"/>
    <w:rsid w:val="007458F8"/>
    <w:rsid w:val="00753B2D"/>
    <w:rsid w:val="007558AF"/>
    <w:rsid w:val="00760E7E"/>
    <w:rsid w:val="00764B7A"/>
    <w:rsid w:val="0076678C"/>
    <w:rsid w:val="0077013C"/>
    <w:rsid w:val="00772EBC"/>
    <w:rsid w:val="00782806"/>
    <w:rsid w:val="0078520F"/>
    <w:rsid w:val="007861F9"/>
    <w:rsid w:val="007875D3"/>
    <w:rsid w:val="007923EC"/>
    <w:rsid w:val="00792DF7"/>
    <w:rsid w:val="00797BCE"/>
    <w:rsid w:val="007B1F4B"/>
    <w:rsid w:val="007B5B1B"/>
    <w:rsid w:val="007B5E20"/>
    <w:rsid w:val="007C15FA"/>
    <w:rsid w:val="007C5D9D"/>
    <w:rsid w:val="007C67C1"/>
    <w:rsid w:val="007E2CF2"/>
    <w:rsid w:val="007F6A41"/>
    <w:rsid w:val="008034E7"/>
    <w:rsid w:val="00810912"/>
    <w:rsid w:val="00826E54"/>
    <w:rsid w:val="0083460B"/>
    <w:rsid w:val="008375AE"/>
    <w:rsid w:val="008376DF"/>
    <w:rsid w:val="0084396E"/>
    <w:rsid w:val="00847B8E"/>
    <w:rsid w:val="00850FC0"/>
    <w:rsid w:val="00851026"/>
    <w:rsid w:val="00852944"/>
    <w:rsid w:val="00862F40"/>
    <w:rsid w:val="008656DD"/>
    <w:rsid w:val="00876237"/>
    <w:rsid w:val="00884D4D"/>
    <w:rsid w:val="00887440"/>
    <w:rsid w:val="00890559"/>
    <w:rsid w:val="0089297C"/>
    <w:rsid w:val="0089354A"/>
    <w:rsid w:val="008936E4"/>
    <w:rsid w:val="0089783C"/>
    <w:rsid w:val="008A237D"/>
    <w:rsid w:val="008A4A04"/>
    <w:rsid w:val="008A6ADA"/>
    <w:rsid w:val="008C1DA9"/>
    <w:rsid w:val="008C7F38"/>
    <w:rsid w:val="008C7FFC"/>
    <w:rsid w:val="008D3202"/>
    <w:rsid w:val="008D47A1"/>
    <w:rsid w:val="008D584E"/>
    <w:rsid w:val="008E21A3"/>
    <w:rsid w:val="008E4047"/>
    <w:rsid w:val="008E5985"/>
    <w:rsid w:val="008E6CD8"/>
    <w:rsid w:val="008F7632"/>
    <w:rsid w:val="00901C1F"/>
    <w:rsid w:val="0091578D"/>
    <w:rsid w:val="00917E5E"/>
    <w:rsid w:val="00925A85"/>
    <w:rsid w:val="00931669"/>
    <w:rsid w:val="009403B1"/>
    <w:rsid w:val="00951421"/>
    <w:rsid w:val="009526CD"/>
    <w:rsid w:val="00953363"/>
    <w:rsid w:val="009675A5"/>
    <w:rsid w:val="00970A7C"/>
    <w:rsid w:val="0097437F"/>
    <w:rsid w:val="00976A9C"/>
    <w:rsid w:val="009830F3"/>
    <w:rsid w:val="00984A1F"/>
    <w:rsid w:val="0098605F"/>
    <w:rsid w:val="009952D5"/>
    <w:rsid w:val="00995E03"/>
    <w:rsid w:val="009A0A83"/>
    <w:rsid w:val="009A26C0"/>
    <w:rsid w:val="009C0F1F"/>
    <w:rsid w:val="009C18D7"/>
    <w:rsid w:val="009D1B5C"/>
    <w:rsid w:val="009D24F1"/>
    <w:rsid w:val="009D31A4"/>
    <w:rsid w:val="009D60F1"/>
    <w:rsid w:val="009E560D"/>
    <w:rsid w:val="009E6BE9"/>
    <w:rsid w:val="009F2B66"/>
    <w:rsid w:val="009F5C63"/>
    <w:rsid w:val="00A0191E"/>
    <w:rsid w:val="00A02106"/>
    <w:rsid w:val="00A14B46"/>
    <w:rsid w:val="00A16113"/>
    <w:rsid w:val="00A23423"/>
    <w:rsid w:val="00A26661"/>
    <w:rsid w:val="00A27C4B"/>
    <w:rsid w:val="00A32C95"/>
    <w:rsid w:val="00A35264"/>
    <w:rsid w:val="00A3770C"/>
    <w:rsid w:val="00A4021D"/>
    <w:rsid w:val="00A40C9B"/>
    <w:rsid w:val="00A420C4"/>
    <w:rsid w:val="00A42781"/>
    <w:rsid w:val="00A619D9"/>
    <w:rsid w:val="00A67269"/>
    <w:rsid w:val="00A76648"/>
    <w:rsid w:val="00A7687B"/>
    <w:rsid w:val="00A76D6F"/>
    <w:rsid w:val="00A83CB7"/>
    <w:rsid w:val="00A8543B"/>
    <w:rsid w:val="00AA7A36"/>
    <w:rsid w:val="00AB682D"/>
    <w:rsid w:val="00AC3AEA"/>
    <w:rsid w:val="00AC6EE3"/>
    <w:rsid w:val="00AD0F3E"/>
    <w:rsid w:val="00AD6852"/>
    <w:rsid w:val="00AE627C"/>
    <w:rsid w:val="00AE64A4"/>
    <w:rsid w:val="00AF3549"/>
    <w:rsid w:val="00B352B6"/>
    <w:rsid w:val="00B3585C"/>
    <w:rsid w:val="00B41E39"/>
    <w:rsid w:val="00B47726"/>
    <w:rsid w:val="00B51969"/>
    <w:rsid w:val="00B564FF"/>
    <w:rsid w:val="00B73582"/>
    <w:rsid w:val="00B77C82"/>
    <w:rsid w:val="00B8107B"/>
    <w:rsid w:val="00BC0619"/>
    <w:rsid w:val="00BC1DBF"/>
    <w:rsid w:val="00BC3677"/>
    <w:rsid w:val="00BD1725"/>
    <w:rsid w:val="00BD6430"/>
    <w:rsid w:val="00BF3ABB"/>
    <w:rsid w:val="00BF76DF"/>
    <w:rsid w:val="00C00BA2"/>
    <w:rsid w:val="00C0294C"/>
    <w:rsid w:val="00C14E4D"/>
    <w:rsid w:val="00C2754B"/>
    <w:rsid w:val="00C33818"/>
    <w:rsid w:val="00C35D66"/>
    <w:rsid w:val="00C37719"/>
    <w:rsid w:val="00C606DC"/>
    <w:rsid w:val="00C731FB"/>
    <w:rsid w:val="00C73D3D"/>
    <w:rsid w:val="00C74BE9"/>
    <w:rsid w:val="00C75401"/>
    <w:rsid w:val="00C85A5C"/>
    <w:rsid w:val="00C916F3"/>
    <w:rsid w:val="00C9349A"/>
    <w:rsid w:val="00C94F58"/>
    <w:rsid w:val="00CA18DC"/>
    <w:rsid w:val="00CB2F8F"/>
    <w:rsid w:val="00CB548E"/>
    <w:rsid w:val="00CB69F5"/>
    <w:rsid w:val="00CC3CD9"/>
    <w:rsid w:val="00CC52C9"/>
    <w:rsid w:val="00CC788A"/>
    <w:rsid w:val="00CD0ACD"/>
    <w:rsid w:val="00CD488E"/>
    <w:rsid w:val="00CE0B79"/>
    <w:rsid w:val="00CE6AC9"/>
    <w:rsid w:val="00CF16DE"/>
    <w:rsid w:val="00D01BCD"/>
    <w:rsid w:val="00D2031A"/>
    <w:rsid w:val="00D23B98"/>
    <w:rsid w:val="00D42592"/>
    <w:rsid w:val="00D501D8"/>
    <w:rsid w:val="00D50F88"/>
    <w:rsid w:val="00D54F9E"/>
    <w:rsid w:val="00D604DE"/>
    <w:rsid w:val="00D640AD"/>
    <w:rsid w:val="00D7373B"/>
    <w:rsid w:val="00D74290"/>
    <w:rsid w:val="00D8154A"/>
    <w:rsid w:val="00DA0716"/>
    <w:rsid w:val="00DB2B3E"/>
    <w:rsid w:val="00DB3E7A"/>
    <w:rsid w:val="00DB5A20"/>
    <w:rsid w:val="00DD2F13"/>
    <w:rsid w:val="00DE2066"/>
    <w:rsid w:val="00DF72FA"/>
    <w:rsid w:val="00E01DAD"/>
    <w:rsid w:val="00E032FE"/>
    <w:rsid w:val="00E10130"/>
    <w:rsid w:val="00E13C52"/>
    <w:rsid w:val="00E16D06"/>
    <w:rsid w:val="00E26282"/>
    <w:rsid w:val="00E3397F"/>
    <w:rsid w:val="00E37BFB"/>
    <w:rsid w:val="00E40EB6"/>
    <w:rsid w:val="00E4240F"/>
    <w:rsid w:val="00E543C5"/>
    <w:rsid w:val="00E55925"/>
    <w:rsid w:val="00E55F14"/>
    <w:rsid w:val="00E602CC"/>
    <w:rsid w:val="00E61139"/>
    <w:rsid w:val="00E64E87"/>
    <w:rsid w:val="00E65B23"/>
    <w:rsid w:val="00E70F16"/>
    <w:rsid w:val="00E7138A"/>
    <w:rsid w:val="00E74EE5"/>
    <w:rsid w:val="00E83972"/>
    <w:rsid w:val="00E916C8"/>
    <w:rsid w:val="00E964E7"/>
    <w:rsid w:val="00EB022D"/>
    <w:rsid w:val="00EC3C1E"/>
    <w:rsid w:val="00EC4D3C"/>
    <w:rsid w:val="00EC7E11"/>
    <w:rsid w:val="00ED0AB8"/>
    <w:rsid w:val="00EE25B4"/>
    <w:rsid w:val="00F0239A"/>
    <w:rsid w:val="00F07511"/>
    <w:rsid w:val="00F104C0"/>
    <w:rsid w:val="00F106BD"/>
    <w:rsid w:val="00F1123C"/>
    <w:rsid w:val="00F21E1F"/>
    <w:rsid w:val="00F22C6A"/>
    <w:rsid w:val="00F23907"/>
    <w:rsid w:val="00F24384"/>
    <w:rsid w:val="00F258DA"/>
    <w:rsid w:val="00F262C1"/>
    <w:rsid w:val="00F4135D"/>
    <w:rsid w:val="00F51555"/>
    <w:rsid w:val="00F53214"/>
    <w:rsid w:val="00F53BDF"/>
    <w:rsid w:val="00F561C6"/>
    <w:rsid w:val="00F636C8"/>
    <w:rsid w:val="00F6587E"/>
    <w:rsid w:val="00F739CF"/>
    <w:rsid w:val="00F73A15"/>
    <w:rsid w:val="00F76BA4"/>
    <w:rsid w:val="00F9215C"/>
    <w:rsid w:val="00F96704"/>
    <w:rsid w:val="00FA024C"/>
    <w:rsid w:val="00FA14C9"/>
    <w:rsid w:val="00FA18C0"/>
    <w:rsid w:val="00FA7B6C"/>
    <w:rsid w:val="00FB0C6C"/>
    <w:rsid w:val="00FB5D30"/>
    <w:rsid w:val="00FD7559"/>
    <w:rsid w:val="00FE35BD"/>
    <w:rsid w:val="00FF66DE"/>
    <w:rsid w:val="03481538"/>
    <w:rsid w:val="04B0426D"/>
    <w:rsid w:val="0DBB5BA0"/>
    <w:rsid w:val="33097ACC"/>
    <w:rsid w:val="3A153FE5"/>
    <w:rsid w:val="72520BD4"/>
    <w:rsid w:val="79CB3B6A"/>
    <w:rsid w:val="7A494E9B"/>
    <w:rsid w:val="7D1B2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qFormat="1" w:uiPriority="99" w:semiHidden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qFormat="1" w:unhideWhenUsed="0" w:uiPriority="0" w:semiHidden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link w:val="13"/>
    <w:unhideWhenUsed/>
    <w:qFormat/>
    <w:uiPriority w:val="99"/>
    <w:pPr>
      <w:spacing w:beforeLines="30" w:line="480" w:lineRule="exact"/>
      <w:ind w:firstLine="520" w:firstLineChars="200"/>
    </w:pPr>
    <w:rPr>
      <w:rFonts w:hAnsi="宋体"/>
      <w:sz w:val="26"/>
      <w:szCs w:val="32"/>
    </w:rPr>
  </w:style>
  <w:style w:type="paragraph" w:styleId="3">
    <w:name w:val="Balloon Text"/>
    <w:basedOn w:val="1"/>
    <w:semiHidden/>
    <w:qFormat/>
    <w:uiPriority w:val="0"/>
    <w:rPr>
      <w:sz w:val="18"/>
      <w:szCs w:val="18"/>
    </w:rPr>
  </w:style>
  <w:style w:type="paragraph" w:styleId="4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Hyperlink"/>
    <w:qFormat/>
    <w:uiPriority w:val="0"/>
    <w:rPr>
      <w:color w:val="0000FF"/>
      <w:u w:val="single"/>
    </w:rPr>
  </w:style>
  <w:style w:type="character" w:customStyle="1" w:styleId="10">
    <w:name w:val="页眉 Char"/>
    <w:link w:val="5"/>
    <w:qFormat/>
    <w:uiPriority w:val="0"/>
    <w:rPr>
      <w:kern w:val="2"/>
      <w:sz w:val="18"/>
      <w:szCs w:val="18"/>
    </w:rPr>
  </w:style>
  <w:style w:type="character" w:customStyle="1" w:styleId="11">
    <w:name w:val="页脚 Char"/>
    <w:link w:val="4"/>
    <w:qFormat/>
    <w:uiPriority w:val="0"/>
    <w:rPr>
      <w:kern w:val="2"/>
      <w:sz w:val="18"/>
      <w:szCs w:val="18"/>
    </w:rPr>
  </w:style>
  <w:style w:type="character" w:customStyle="1" w:styleId="12">
    <w:name w:val="apple-converted-space"/>
    <w:basedOn w:val="8"/>
    <w:qFormat/>
    <w:uiPriority w:val="0"/>
  </w:style>
  <w:style w:type="character" w:customStyle="1" w:styleId="13">
    <w:name w:val="正文文本缩进 Char"/>
    <w:link w:val="2"/>
    <w:qFormat/>
    <w:uiPriority w:val="99"/>
    <w:rPr>
      <w:rFonts w:hAnsi="宋体"/>
      <w:kern w:val="2"/>
      <w:sz w:val="26"/>
      <w:szCs w:val="32"/>
    </w:rPr>
  </w:style>
  <w:style w:type="paragraph" w:customStyle="1" w:styleId="14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_GB2312" w:hAnsi="仿宋_GB2312" w:eastAsia="宋体" w:cs="仿宋_GB2312"/>
      <w:color w:val="000000"/>
      <w:sz w:val="24"/>
      <w:szCs w:val="24"/>
      <w:lang w:val="en-US" w:eastAsia="zh-CN" w:bidi="ar-SA"/>
    </w:rPr>
  </w:style>
  <w:style w:type="paragraph" w:styleId="15">
    <w:name w:val="List Paragraph"/>
    <w:basedOn w:val="1"/>
    <w:qFormat/>
    <w:uiPriority w:val="34"/>
    <w:pPr>
      <w:ind w:firstLine="420" w:firstLineChars="200"/>
    </w:pPr>
  </w:style>
  <w:style w:type="character" w:customStyle="1" w:styleId="16">
    <w:name w:val="fontstyle01"/>
    <w:basedOn w:val="8"/>
    <w:qFormat/>
    <w:uiPriority w:val="0"/>
    <w:rPr>
      <w:rFonts w:ascii="宋体" w:hAnsi="宋体" w:eastAsia="宋体" w:cs="宋体"/>
      <w:color w:val="000000"/>
      <w:sz w:val="24"/>
      <w:szCs w:val="24"/>
    </w:rPr>
  </w:style>
  <w:style w:type="character" w:customStyle="1" w:styleId="17">
    <w:name w:val="fontstyle21"/>
    <w:basedOn w:val="8"/>
    <w:qFormat/>
    <w:uiPriority w:val="0"/>
    <w:rPr>
      <w:rFonts w:ascii="TimesNewRomanPSMT" w:hAnsi="TimesNewRomanPSMT" w:eastAsia="TimesNewRomanPSMT" w:cs="TimesNewRomanPSMT"/>
      <w:color w:val="000000"/>
      <w:sz w:val="24"/>
      <w:szCs w:val="24"/>
    </w:rPr>
  </w:style>
  <w:style w:type="character" w:customStyle="1" w:styleId="18">
    <w:name w:val="fontstyle11"/>
    <w:basedOn w:val="8"/>
    <w:qFormat/>
    <w:uiPriority w:val="0"/>
    <w:rPr>
      <w:rFonts w:ascii="TimesNewRomanPSMT" w:hAnsi="TimesNewRomanPSMT" w:eastAsia="TimesNewRomanPSMT" w:cs="TimesNewRomanPSMT"/>
      <w:color w:val="00000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湘潭大学研招办</Company>
  <Pages>4</Pages>
  <Words>1307</Words>
  <Characters>1356</Characters>
  <Lines>10</Lines>
  <Paragraphs>3</Paragraphs>
  <TotalTime>13</TotalTime>
  <ScaleCrop>false</ScaleCrop>
  <LinksUpToDate>false</LinksUpToDate>
  <CharactersWithSpaces>1455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2019-07-01T00:09:00Z</dcterms:created>
  <dc:creator>李丽兰</dc:creator>
  <cp:lastModifiedBy>宋江南</cp:lastModifiedBy>
  <cp:lastPrinted>2024-09-30T07:07:00Z</cp:lastPrinted>
  <dcterms:modified xsi:type="dcterms:W3CDTF">2025-09-30T07:08:09Z</dcterms:modified>
  <dc:title>关于编制2002年硕士研究生招生专业目录的通知</dc:title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0333D63D2CB24F29A90E24B114B0A6F6_12</vt:lpwstr>
  </property>
  <property fmtid="{D5CDD505-2E9C-101B-9397-08002B2CF9AE}" pid="4" name="KSOTemplateDocerSaveRecord">
    <vt:lpwstr>eyJoZGlkIjoiM2QxOTExYWIyZjZjNzRmNTVjZTNmZjZmYTRkODBiMzYiLCJ1c2VySWQiOiIzNzc5ODQ5MDgifQ==</vt:lpwstr>
  </property>
</Properties>
</file>